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DB4" w:rsidRDefault="00705AAE">
      <w:r>
        <w:rPr>
          <w:rStyle w:val="Strong"/>
          <w:rFonts w:ascii="inherit" w:hAnsi="inherit"/>
          <w:color w:val="000000"/>
          <w:sz w:val="20"/>
          <w:szCs w:val="20"/>
          <w:bdr w:val="none" w:sz="0" w:space="0" w:color="auto" w:frame="1"/>
        </w:rPr>
        <w:t>Please use the case brief template to brief the following case:  </w:t>
      </w:r>
      <w:r>
        <w:rPr>
          <w:rStyle w:val="Strong"/>
          <w:rFonts w:ascii="inherit" w:hAnsi="inherit"/>
          <w:color w:val="000000"/>
          <w:sz w:val="20"/>
          <w:szCs w:val="20"/>
          <w:u w:val="single"/>
          <w:bdr w:val="none" w:sz="0" w:space="0" w:color="auto" w:frame="1"/>
        </w:rPr>
        <w:t>Wells v. Lester E. Cox Medical Centers</w:t>
      </w:r>
      <w:r>
        <w:rPr>
          <w:rStyle w:val="Strong"/>
          <w:rFonts w:ascii="inherit" w:hAnsi="inherit"/>
          <w:color w:val="000000"/>
          <w:sz w:val="20"/>
          <w:szCs w:val="20"/>
          <w:bdr w:val="none" w:sz="0" w:space="0" w:color="auto" w:frame="1"/>
        </w:rPr>
        <w:t>, 379 S.W.3d 919 (</w:t>
      </w:r>
      <w:proofErr w:type="spellStart"/>
      <w:r>
        <w:rPr>
          <w:rStyle w:val="Strong"/>
          <w:rFonts w:ascii="inherit" w:hAnsi="inherit"/>
          <w:color w:val="000000"/>
          <w:sz w:val="20"/>
          <w:szCs w:val="20"/>
          <w:bdr w:val="none" w:sz="0" w:space="0" w:color="auto" w:frame="1"/>
        </w:rPr>
        <w:t>Mo.App.S.D</w:t>
      </w:r>
      <w:proofErr w:type="spellEnd"/>
      <w:r>
        <w:rPr>
          <w:rStyle w:val="Strong"/>
          <w:rFonts w:ascii="inherit" w:hAnsi="inherit"/>
          <w:color w:val="000000"/>
          <w:sz w:val="20"/>
          <w:szCs w:val="20"/>
          <w:bdr w:val="none" w:sz="0" w:space="0" w:color="auto" w:frame="1"/>
        </w:rPr>
        <w:t>. 2012)</w:t>
      </w:r>
    </w:p>
    <w:p w:rsidR="00705AAE" w:rsidRDefault="00705AAE"/>
    <w:p w:rsidR="00705AAE" w:rsidRDefault="00705AAE">
      <w:hyperlink r:id="rId4" w:tgtFrame="_blank" w:history="1">
        <w:r>
          <w:rPr>
            <w:rStyle w:val="Hyperlink"/>
            <w:rFonts w:ascii="Arial" w:hAnsi="Arial" w:cs="Arial"/>
            <w:color w:val="1874A4"/>
            <w:sz w:val="19"/>
            <w:szCs w:val="19"/>
            <w:bdr w:val="none" w:sz="0" w:space="0" w:color="auto" w:frame="1"/>
            <w:shd w:val="clear" w:color="auto" w:fill="F8F8F8"/>
          </w:rPr>
          <w:t>https://www.leagle.com/decision/inmoco20121009274</w:t>
        </w:r>
      </w:hyperlink>
      <w:bookmarkStart w:id="0" w:name="_GoBack"/>
      <w:bookmarkEnd w:id="0"/>
    </w:p>
    <w:sectPr w:rsidR="00705A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AE"/>
    <w:rsid w:val="00536DB4"/>
    <w:rsid w:val="00705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A58DE"/>
  <w15:chartTrackingRefBased/>
  <w15:docId w15:val="{5834ECA3-E37F-4347-ADE9-C0C3D410B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05AAE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705A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eagle.com/decision/inmoco2012100927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Syed Hasan</dc:creator>
  <cp:keywords/>
  <dc:description/>
  <cp:lastModifiedBy>Syed Hasan</cp:lastModifiedBy>
  <cp:revision>1</cp:revision>
  <dcterms:created xsi:type="dcterms:W3CDTF">2020-10-12T19:31:00Z</dcterms:created>
  <dcterms:modified xsi:type="dcterms:W3CDTF">2020-10-12T19:33:00Z</dcterms:modified>
</cp:coreProperties>
</file>